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8E" w:rsidRDefault="003D1A8E" w:rsidP="00BF627B">
      <w:pPr>
        <w:jc w:val="center"/>
        <w:rPr>
          <w:iCs/>
          <w:sz w:val="24"/>
          <w:szCs w:val="24"/>
        </w:rPr>
      </w:pPr>
    </w:p>
    <w:p w:rsidR="003D1A8E" w:rsidRDefault="003D1A8E" w:rsidP="00BF627B">
      <w:pPr>
        <w:jc w:val="center"/>
        <w:rPr>
          <w:iCs/>
          <w:sz w:val="24"/>
          <w:szCs w:val="24"/>
        </w:rPr>
      </w:pPr>
    </w:p>
    <w:p w:rsidR="003D1A8E" w:rsidRPr="00DE53D4" w:rsidRDefault="003D1A8E" w:rsidP="00BF627B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sz w:val="28"/>
          <w:szCs w:val="28"/>
        </w:rPr>
      </w:pPr>
      <w:r w:rsidRPr="00DE53D4">
        <w:rPr>
          <w:rStyle w:val="ae"/>
          <w:sz w:val="28"/>
          <w:szCs w:val="28"/>
        </w:rPr>
        <w:t>УВЕДОМЛЕНИЕ</w:t>
      </w:r>
    </w:p>
    <w:p w:rsidR="003D1A8E" w:rsidRPr="00DE53D4" w:rsidRDefault="003D1A8E" w:rsidP="00BF627B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E53D4">
        <w:rPr>
          <w:rStyle w:val="ae"/>
          <w:sz w:val="28"/>
          <w:szCs w:val="28"/>
        </w:rPr>
        <w:t xml:space="preserve">о начале сбора замечаний и предложений граждан и юридических лиц </w:t>
      </w:r>
      <w:r w:rsidRPr="00DE53D4">
        <w:rPr>
          <w:rStyle w:val="ae"/>
          <w:sz w:val="28"/>
          <w:szCs w:val="28"/>
        </w:rPr>
        <w:br/>
        <w:t>по перечню нормативных правовых актов</w:t>
      </w:r>
      <w:r w:rsidR="000168C8" w:rsidRPr="00DE53D4">
        <w:rPr>
          <w:rStyle w:val="ae"/>
          <w:sz w:val="28"/>
          <w:szCs w:val="28"/>
        </w:rPr>
        <w:t xml:space="preserve"> </w:t>
      </w:r>
      <w:r w:rsidR="000168C8" w:rsidRPr="00DE53D4">
        <w:rPr>
          <w:rStyle w:val="ae"/>
        </w:rPr>
        <w:t>(</w:t>
      </w:r>
      <w:r w:rsidR="000168C8" w:rsidRPr="00DE53D4">
        <w:rPr>
          <w:rStyle w:val="ae"/>
          <w:sz w:val="28"/>
          <w:szCs w:val="28"/>
        </w:rPr>
        <w:t>проектов нормативных правовых актов)</w:t>
      </w:r>
      <w:r w:rsidRPr="00DE53D4">
        <w:rPr>
          <w:rStyle w:val="ae"/>
          <w:sz w:val="28"/>
          <w:szCs w:val="28"/>
        </w:rPr>
        <w:t xml:space="preserve"> </w:t>
      </w:r>
      <w:r w:rsidR="00D06B0A">
        <w:rPr>
          <w:rStyle w:val="ae"/>
          <w:sz w:val="28"/>
          <w:szCs w:val="28"/>
        </w:rPr>
        <w:t>Комитета по внешним связям Санкт-Петербурга</w:t>
      </w:r>
      <w:r w:rsidRPr="00DE53D4">
        <w:rPr>
          <w:rStyle w:val="ae"/>
          <w:sz w:val="28"/>
          <w:szCs w:val="28"/>
        </w:rPr>
        <w:t xml:space="preserve"> 20</w:t>
      </w:r>
      <w:r w:rsidR="00837A14">
        <w:rPr>
          <w:rStyle w:val="ae"/>
          <w:sz w:val="28"/>
          <w:szCs w:val="28"/>
        </w:rPr>
        <w:t>21</w:t>
      </w:r>
      <w:r w:rsidRPr="00DE53D4">
        <w:rPr>
          <w:rStyle w:val="ae"/>
          <w:sz w:val="28"/>
          <w:szCs w:val="28"/>
        </w:rPr>
        <w:t>-20</w:t>
      </w:r>
      <w:r w:rsidR="009016C7">
        <w:rPr>
          <w:rStyle w:val="ae"/>
          <w:sz w:val="28"/>
          <w:szCs w:val="28"/>
        </w:rPr>
        <w:t>2</w:t>
      </w:r>
      <w:r w:rsidR="00837A14">
        <w:rPr>
          <w:rStyle w:val="ae"/>
          <w:sz w:val="28"/>
          <w:szCs w:val="28"/>
        </w:rPr>
        <w:t>2</w:t>
      </w:r>
      <w:r w:rsidRPr="00DE53D4">
        <w:rPr>
          <w:rStyle w:val="ae"/>
          <w:sz w:val="28"/>
          <w:szCs w:val="28"/>
        </w:rPr>
        <w:t xml:space="preserve"> годов в целях выявления</w:t>
      </w:r>
      <w:r w:rsidR="000168C8" w:rsidRPr="00DE53D4">
        <w:rPr>
          <w:rStyle w:val="ae"/>
          <w:sz w:val="28"/>
          <w:szCs w:val="28"/>
        </w:rPr>
        <w:t xml:space="preserve"> </w:t>
      </w:r>
      <w:r w:rsidRPr="00DE53D4">
        <w:rPr>
          <w:rStyle w:val="ae"/>
          <w:sz w:val="28"/>
          <w:szCs w:val="28"/>
        </w:rPr>
        <w:t>и исключения рисков нарушения антимонопольного законодательства, решения вопроса о целесообразности (нецелесообразности) внесения изменений в указанные нормативные правовые акты</w:t>
      </w:r>
    </w:p>
    <w:p w:rsidR="003D1A8E" w:rsidRPr="00DE53D4" w:rsidRDefault="003D1A8E" w:rsidP="00BF627B">
      <w:pPr>
        <w:pStyle w:val="ad"/>
        <w:shd w:val="clear" w:color="auto" w:fill="FFFFFF"/>
        <w:spacing w:before="0" w:beforeAutospacing="0" w:after="450" w:afterAutospacing="0"/>
        <w:jc w:val="both"/>
        <w:rPr>
          <w:sz w:val="28"/>
          <w:szCs w:val="28"/>
          <w:u w:val="single"/>
        </w:rPr>
      </w:pPr>
    </w:p>
    <w:p w:rsidR="003D1A8E" w:rsidRPr="00DE53D4" w:rsidRDefault="00A74D2A" w:rsidP="00BF627B">
      <w:pPr>
        <w:pStyle w:val="ad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DE53D4">
        <w:rPr>
          <w:sz w:val="28"/>
          <w:szCs w:val="28"/>
        </w:rPr>
        <w:t>П</w:t>
      </w:r>
      <w:r w:rsidR="003D1A8E" w:rsidRPr="00DE53D4">
        <w:rPr>
          <w:sz w:val="28"/>
          <w:szCs w:val="28"/>
        </w:rPr>
        <w:t xml:space="preserve">еречень нормативных правовых актов (проектов </w:t>
      </w:r>
      <w:r w:rsidR="00BF627B" w:rsidRPr="00DE53D4">
        <w:rPr>
          <w:sz w:val="28"/>
          <w:szCs w:val="28"/>
        </w:rPr>
        <w:t>н</w:t>
      </w:r>
      <w:r w:rsidR="003D1A8E" w:rsidRPr="00DE53D4">
        <w:rPr>
          <w:sz w:val="28"/>
          <w:szCs w:val="28"/>
        </w:rPr>
        <w:t xml:space="preserve">ормативных правовых актов) </w:t>
      </w:r>
      <w:r w:rsidR="00D06B0A">
        <w:rPr>
          <w:sz w:val="28"/>
          <w:szCs w:val="28"/>
        </w:rPr>
        <w:t>Комитета по внешним связям Санкт-Петербурга</w:t>
      </w:r>
      <w:r w:rsidR="003D1A8E" w:rsidRPr="00DE53D4">
        <w:rPr>
          <w:sz w:val="28"/>
          <w:szCs w:val="28"/>
        </w:rPr>
        <w:t xml:space="preserve"> согласно Приложению № 1.</w:t>
      </w:r>
    </w:p>
    <w:p w:rsidR="003D1A8E" w:rsidRPr="00DE53D4" w:rsidRDefault="003D1A8E" w:rsidP="00BF627B">
      <w:pPr>
        <w:pStyle w:val="ad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DE53D4">
        <w:rPr>
          <w:sz w:val="28"/>
          <w:szCs w:val="28"/>
        </w:rPr>
        <w:t>Адрес для направления замечаний и предложений по форме согласно приложению № 2</w:t>
      </w:r>
      <w:r w:rsidR="00F32965" w:rsidRPr="00DE53D4">
        <w:rPr>
          <w:sz w:val="28"/>
          <w:szCs w:val="28"/>
        </w:rPr>
        <w:t>: </w:t>
      </w:r>
      <w:proofErr w:type="spellStart"/>
      <w:r w:rsidR="00F32965">
        <w:rPr>
          <w:sz w:val="28"/>
          <w:szCs w:val="28"/>
          <w:lang w:val="en-US"/>
        </w:rPr>
        <w:t>tatarinov</w:t>
      </w:r>
      <w:proofErr w:type="spellEnd"/>
      <w:r w:rsidR="00F32965">
        <w:rPr>
          <w:sz w:val="28"/>
          <w:szCs w:val="28"/>
        </w:rPr>
        <w:t>@kvs</w:t>
      </w:r>
      <w:r w:rsidR="00BF627B" w:rsidRPr="00DE53D4">
        <w:rPr>
          <w:sz w:val="28"/>
          <w:szCs w:val="28"/>
        </w:rPr>
        <w:t>.gov.spb.ru</w:t>
      </w:r>
      <w:r w:rsidR="00A74D2A" w:rsidRPr="00DE53D4">
        <w:rPr>
          <w:sz w:val="28"/>
          <w:szCs w:val="28"/>
        </w:rPr>
        <w:t>.</w:t>
      </w:r>
    </w:p>
    <w:p w:rsidR="003D1A8E" w:rsidRPr="00DE53D4" w:rsidRDefault="003D1A8E" w:rsidP="00BF627B">
      <w:pPr>
        <w:pStyle w:val="ad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DE53D4">
        <w:rPr>
          <w:sz w:val="28"/>
          <w:szCs w:val="28"/>
        </w:rPr>
        <w:t xml:space="preserve">Срок </w:t>
      </w:r>
      <w:r w:rsidR="00BF627B" w:rsidRPr="00DE53D4">
        <w:rPr>
          <w:sz w:val="28"/>
          <w:szCs w:val="28"/>
        </w:rPr>
        <w:t xml:space="preserve">начала и </w:t>
      </w:r>
      <w:r w:rsidRPr="00DE53D4">
        <w:rPr>
          <w:sz w:val="28"/>
          <w:szCs w:val="28"/>
        </w:rPr>
        <w:t xml:space="preserve">окончания сбора замечаний и предложений </w:t>
      </w:r>
      <w:r w:rsidR="00BF627B" w:rsidRPr="00DE53D4">
        <w:rPr>
          <w:sz w:val="28"/>
          <w:szCs w:val="28"/>
        </w:rPr>
        <w:t xml:space="preserve">с </w:t>
      </w:r>
      <w:r w:rsidR="00837A14" w:rsidRPr="00D91CBD">
        <w:rPr>
          <w:sz w:val="28"/>
          <w:szCs w:val="28"/>
        </w:rPr>
        <w:t>25.05.2022 по 09.06.2022</w:t>
      </w:r>
      <w:r w:rsidR="00BF627B" w:rsidRPr="00DE53D4">
        <w:rPr>
          <w:sz w:val="28"/>
          <w:szCs w:val="28"/>
        </w:rPr>
        <w:t>.</w:t>
      </w:r>
    </w:p>
    <w:p w:rsidR="003D1A8E" w:rsidRPr="00DE53D4" w:rsidRDefault="003D1A8E" w:rsidP="003D1A8E">
      <w:pPr>
        <w:jc w:val="both"/>
        <w:rPr>
          <w:iCs/>
          <w:sz w:val="24"/>
          <w:szCs w:val="24"/>
        </w:rPr>
      </w:pPr>
    </w:p>
    <w:p w:rsidR="003D1A8E" w:rsidRPr="00DE53D4" w:rsidRDefault="003D1A8E" w:rsidP="00E45432">
      <w:pPr>
        <w:jc w:val="right"/>
        <w:rPr>
          <w:iCs/>
          <w:sz w:val="24"/>
          <w:szCs w:val="24"/>
        </w:rPr>
      </w:pPr>
    </w:p>
    <w:p w:rsidR="003D1A8E" w:rsidRPr="00DE53D4" w:rsidRDefault="003D1A8E" w:rsidP="00E45432">
      <w:pPr>
        <w:jc w:val="right"/>
        <w:rPr>
          <w:iCs/>
          <w:sz w:val="24"/>
          <w:szCs w:val="24"/>
        </w:rPr>
      </w:pPr>
    </w:p>
    <w:p w:rsidR="003D1A8E" w:rsidRPr="00DE53D4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2F6807" w:rsidRPr="00F32965" w:rsidRDefault="002F6807" w:rsidP="00D06B0A">
      <w:pPr>
        <w:ind w:left="4962"/>
        <w:rPr>
          <w:b/>
        </w:rPr>
      </w:pPr>
      <w:r w:rsidRPr="00F32965">
        <w:rPr>
          <w:b/>
        </w:rPr>
        <w:lastRenderedPageBreak/>
        <w:t xml:space="preserve">Приложение № 1 </w:t>
      </w:r>
    </w:p>
    <w:p w:rsidR="002F6807" w:rsidRPr="002F6807" w:rsidRDefault="002F6807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к Уведомлению о начале сбора замечаний и предложений </w:t>
      </w:r>
    </w:p>
    <w:p w:rsidR="002F6807" w:rsidRDefault="002F6807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граждан и юридических лиц по </w:t>
      </w:r>
      <w:r w:rsidR="00DE53D4">
        <w:rPr>
          <w:rStyle w:val="ae"/>
          <w:b w:val="0"/>
          <w:color w:val="333333"/>
          <w:sz w:val="20"/>
          <w:szCs w:val="20"/>
        </w:rPr>
        <w:t>П</w:t>
      </w:r>
      <w:r w:rsidRPr="002F6807">
        <w:rPr>
          <w:rStyle w:val="ae"/>
          <w:b w:val="0"/>
          <w:color w:val="333333"/>
          <w:sz w:val="20"/>
          <w:szCs w:val="20"/>
        </w:rPr>
        <w:t>еречню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 </w:t>
      </w:r>
      <w:r w:rsidRPr="002F6807">
        <w:rPr>
          <w:rStyle w:val="ae"/>
          <w:b w:val="0"/>
          <w:sz w:val="20"/>
          <w:szCs w:val="20"/>
        </w:rPr>
        <w:t>(</w:t>
      </w:r>
      <w:r w:rsidRPr="002F6807">
        <w:rPr>
          <w:rStyle w:val="ae"/>
          <w:b w:val="0"/>
          <w:color w:val="333333"/>
          <w:sz w:val="20"/>
          <w:szCs w:val="20"/>
        </w:rPr>
        <w:t>проектов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актов) </w:t>
      </w:r>
      <w:r w:rsidR="00D06B0A" w:rsidRPr="00D06B0A">
        <w:rPr>
          <w:rStyle w:val="ae"/>
          <w:b w:val="0"/>
          <w:color w:val="333333"/>
          <w:sz w:val="20"/>
          <w:szCs w:val="20"/>
        </w:rPr>
        <w:t>Комитета по внешним связям Санкт-Петербурга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20</w:t>
      </w:r>
      <w:r w:rsidR="00837A14">
        <w:rPr>
          <w:rStyle w:val="ae"/>
          <w:b w:val="0"/>
          <w:color w:val="333333"/>
          <w:sz w:val="20"/>
          <w:szCs w:val="20"/>
        </w:rPr>
        <w:t>21</w:t>
      </w:r>
      <w:r w:rsidRPr="002F6807">
        <w:rPr>
          <w:rStyle w:val="ae"/>
          <w:b w:val="0"/>
          <w:color w:val="333333"/>
          <w:sz w:val="20"/>
          <w:szCs w:val="20"/>
        </w:rPr>
        <w:t>-20</w:t>
      </w:r>
      <w:r w:rsidR="004A6748">
        <w:rPr>
          <w:rStyle w:val="ae"/>
          <w:b w:val="0"/>
          <w:color w:val="333333"/>
          <w:sz w:val="20"/>
          <w:szCs w:val="20"/>
        </w:rPr>
        <w:t>2</w:t>
      </w:r>
      <w:r w:rsidR="00837A14">
        <w:rPr>
          <w:rStyle w:val="ae"/>
          <w:b w:val="0"/>
          <w:color w:val="333333"/>
          <w:sz w:val="20"/>
          <w:szCs w:val="20"/>
        </w:rPr>
        <w:t>2</w:t>
      </w:r>
      <w:bookmarkStart w:id="0" w:name="_GoBack"/>
      <w:bookmarkEnd w:id="0"/>
      <w:r w:rsidRPr="002F6807">
        <w:rPr>
          <w:rStyle w:val="ae"/>
          <w:b w:val="0"/>
          <w:color w:val="333333"/>
          <w:sz w:val="20"/>
          <w:szCs w:val="20"/>
        </w:rPr>
        <w:t xml:space="preserve"> годов в целях выявления и исключения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рисков</w:t>
      </w:r>
      <w:r w:rsidR="00D06B0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нарушения антимонопольного законодательства, решения вопроса </w:t>
      </w:r>
    </w:p>
    <w:p w:rsidR="002F6807" w:rsidRPr="002F6807" w:rsidRDefault="002F6807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>о целесообразности (нецелесообразности) внесения изменений в указанные нормативные правовые акты</w:t>
      </w:r>
    </w:p>
    <w:p w:rsidR="003D1A8E" w:rsidRPr="000168C8" w:rsidRDefault="003D1A8E" w:rsidP="000168C8">
      <w:pPr>
        <w:jc w:val="center"/>
        <w:rPr>
          <w:b/>
          <w:sz w:val="28"/>
          <w:szCs w:val="28"/>
        </w:rPr>
      </w:pPr>
    </w:p>
    <w:p w:rsidR="00BF627B" w:rsidRPr="000168C8" w:rsidRDefault="00A74D2A" w:rsidP="00016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F627B" w:rsidRPr="000168C8">
        <w:rPr>
          <w:b/>
          <w:sz w:val="28"/>
          <w:szCs w:val="28"/>
        </w:rPr>
        <w:t>еречень</w:t>
      </w:r>
    </w:p>
    <w:p w:rsidR="003D1A8E" w:rsidRPr="000168C8" w:rsidRDefault="00BF627B" w:rsidP="000168C8">
      <w:pPr>
        <w:jc w:val="center"/>
        <w:rPr>
          <w:b/>
          <w:iCs/>
          <w:sz w:val="24"/>
          <w:szCs w:val="24"/>
        </w:rPr>
      </w:pPr>
      <w:r w:rsidRPr="000168C8">
        <w:rPr>
          <w:b/>
          <w:sz w:val="28"/>
          <w:szCs w:val="28"/>
        </w:rPr>
        <w:t xml:space="preserve">нормативных правовых актов (проектов нормативных правовых актов) </w:t>
      </w:r>
      <w:r w:rsidR="00D06B0A">
        <w:rPr>
          <w:b/>
          <w:sz w:val="28"/>
          <w:szCs w:val="28"/>
        </w:rPr>
        <w:t>Комитета по внешним связям Санкт-Петербурга</w:t>
      </w: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3475"/>
        <w:gridCol w:w="2226"/>
        <w:gridCol w:w="3790"/>
      </w:tblGrid>
      <w:tr w:rsidR="000168C8" w:rsidTr="00D06B0A">
        <w:tc>
          <w:tcPr>
            <w:tcW w:w="562" w:type="dxa"/>
          </w:tcPr>
          <w:p w:rsidR="000168C8" w:rsidRPr="000168C8" w:rsidRDefault="000168C8" w:rsidP="007B18E1">
            <w:pPr>
              <w:jc w:val="center"/>
              <w:rPr>
                <w:b/>
                <w:iCs/>
                <w:sz w:val="24"/>
                <w:szCs w:val="24"/>
              </w:rPr>
            </w:pPr>
            <w:r w:rsidRPr="000168C8">
              <w:rPr>
                <w:b/>
                <w:iCs/>
                <w:sz w:val="24"/>
                <w:szCs w:val="24"/>
              </w:rPr>
              <w:t>№</w:t>
            </w:r>
          </w:p>
          <w:p w:rsidR="000168C8" w:rsidRPr="000168C8" w:rsidRDefault="000168C8" w:rsidP="007B18E1">
            <w:pPr>
              <w:jc w:val="center"/>
              <w:rPr>
                <w:b/>
                <w:iCs/>
                <w:sz w:val="24"/>
                <w:szCs w:val="24"/>
              </w:rPr>
            </w:pPr>
            <w:r w:rsidRPr="000168C8">
              <w:rPr>
                <w:b/>
                <w:iCs/>
                <w:sz w:val="24"/>
                <w:szCs w:val="24"/>
              </w:rPr>
              <w:t>п\п</w:t>
            </w:r>
          </w:p>
        </w:tc>
        <w:tc>
          <w:tcPr>
            <w:tcW w:w="4117" w:type="dxa"/>
          </w:tcPr>
          <w:p w:rsidR="000168C8" w:rsidRPr="000168C8" w:rsidRDefault="00A74D2A" w:rsidP="000168C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Нормативный правовой акт</w:t>
            </w:r>
            <w:r w:rsidR="000168C8" w:rsidRPr="000168C8">
              <w:rPr>
                <w:b/>
                <w:iCs/>
                <w:sz w:val="24"/>
                <w:szCs w:val="24"/>
              </w:rPr>
              <w:t xml:space="preserve"> </w:t>
            </w:r>
            <w:r w:rsidR="00D06B0A" w:rsidRPr="00D06B0A">
              <w:rPr>
                <w:b/>
                <w:iCs/>
                <w:sz w:val="24"/>
                <w:szCs w:val="24"/>
              </w:rPr>
              <w:t>Комитета по внешним связям Санкт-Петербурга</w:t>
            </w:r>
          </w:p>
        </w:tc>
        <w:tc>
          <w:tcPr>
            <w:tcW w:w="2452" w:type="dxa"/>
          </w:tcPr>
          <w:p w:rsidR="000168C8" w:rsidRDefault="000168C8" w:rsidP="000168C8">
            <w:pPr>
              <w:jc w:val="center"/>
              <w:rPr>
                <w:iCs/>
                <w:sz w:val="24"/>
                <w:szCs w:val="24"/>
              </w:rPr>
            </w:pPr>
            <w:r w:rsidRPr="000168C8">
              <w:rPr>
                <w:b/>
                <w:iCs/>
                <w:sz w:val="24"/>
                <w:szCs w:val="24"/>
              </w:rPr>
              <w:t xml:space="preserve">Обоснование реализации предлагаемых решений, в том влияние </w:t>
            </w:r>
            <w:r>
              <w:rPr>
                <w:b/>
                <w:iCs/>
                <w:sz w:val="24"/>
                <w:szCs w:val="24"/>
              </w:rPr>
              <w:br/>
            </w:r>
            <w:r w:rsidRPr="000168C8">
              <w:rPr>
                <w:b/>
                <w:iCs/>
                <w:sz w:val="24"/>
                <w:szCs w:val="24"/>
              </w:rPr>
              <w:t>на конкуренцию</w:t>
            </w:r>
          </w:p>
        </w:tc>
        <w:tc>
          <w:tcPr>
            <w:tcW w:w="2921" w:type="dxa"/>
          </w:tcPr>
          <w:p w:rsidR="000168C8" w:rsidRDefault="000168C8" w:rsidP="000168C8">
            <w:pPr>
              <w:jc w:val="center"/>
              <w:rPr>
                <w:iCs/>
                <w:sz w:val="24"/>
                <w:szCs w:val="24"/>
              </w:rPr>
            </w:pPr>
            <w:r w:rsidRPr="00282E68">
              <w:rPr>
                <w:b/>
                <w:sz w:val="24"/>
                <w:szCs w:val="24"/>
              </w:rPr>
              <w:t>Адрес размещения текста нормативного правового акта</w:t>
            </w:r>
            <w:r>
              <w:rPr>
                <w:b/>
                <w:sz w:val="24"/>
                <w:szCs w:val="24"/>
              </w:rPr>
              <w:t xml:space="preserve"> (проекта нормативного правового акта)</w:t>
            </w:r>
          </w:p>
        </w:tc>
      </w:tr>
      <w:tr w:rsidR="000168C8" w:rsidRPr="007B18E1" w:rsidTr="00D06B0A">
        <w:tc>
          <w:tcPr>
            <w:tcW w:w="562" w:type="dxa"/>
          </w:tcPr>
          <w:p w:rsidR="000168C8" w:rsidRDefault="00374149" w:rsidP="007B18E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7B18E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:rsidR="000168C8" w:rsidRDefault="000168C8" w:rsidP="007B18E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Комитета </w:t>
            </w:r>
            <w:r w:rsidR="00837A14">
              <w:rPr>
                <w:iCs/>
                <w:sz w:val="24"/>
                <w:szCs w:val="24"/>
              </w:rPr>
              <w:t>по внешним связям Санкт-Петербурга</w:t>
            </w:r>
            <w:r>
              <w:rPr>
                <w:iCs/>
                <w:sz w:val="24"/>
                <w:szCs w:val="24"/>
              </w:rPr>
              <w:t xml:space="preserve"> от </w:t>
            </w:r>
            <w:r w:rsidR="00F32965">
              <w:rPr>
                <w:iCs/>
                <w:sz w:val="24"/>
                <w:szCs w:val="24"/>
              </w:rPr>
              <w:t>07</w:t>
            </w:r>
            <w:r>
              <w:rPr>
                <w:iCs/>
                <w:sz w:val="24"/>
                <w:szCs w:val="24"/>
              </w:rPr>
              <w:t>.0</w:t>
            </w:r>
            <w:r w:rsidR="00F32965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 xml:space="preserve">.2019 № </w:t>
            </w:r>
            <w:r w:rsidR="00F32965">
              <w:rPr>
                <w:iCs/>
                <w:sz w:val="24"/>
                <w:szCs w:val="24"/>
              </w:rPr>
              <w:t>6-п</w:t>
            </w:r>
            <w:r>
              <w:rPr>
                <w:iCs/>
                <w:sz w:val="24"/>
                <w:szCs w:val="24"/>
              </w:rPr>
              <w:t xml:space="preserve"> «</w:t>
            </w:r>
            <w:r w:rsidRPr="000168C8">
              <w:rPr>
                <w:iCs/>
                <w:sz w:val="24"/>
                <w:szCs w:val="24"/>
              </w:rPr>
              <w:t xml:space="preserve">Об утверждении Положения по созданию и организации системы внутреннего обеспечения соответствия требованиям антимонопольного законодательства в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0168C8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452" w:type="dxa"/>
          </w:tcPr>
          <w:p w:rsidR="000168C8" w:rsidRPr="00D06B0A" w:rsidRDefault="000168C8" w:rsidP="00F32965">
            <w:pPr>
              <w:rPr>
                <w:iCs/>
                <w:sz w:val="24"/>
                <w:szCs w:val="24"/>
              </w:rPr>
            </w:pPr>
            <w:r w:rsidRPr="009016C7">
              <w:rPr>
                <w:iCs/>
                <w:sz w:val="24"/>
                <w:szCs w:val="24"/>
              </w:rPr>
              <w:t xml:space="preserve">В рамках полномочий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9016C7">
              <w:rPr>
                <w:iCs/>
                <w:sz w:val="24"/>
                <w:szCs w:val="24"/>
              </w:rPr>
              <w:t xml:space="preserve">. </w:t>
            </w:r>
            <w:r w:rsidRPr="00D06B0A">
              <w:rPr>
                <w:iCs/>
                <w:sz w:val="24"/>
                <w:szCs w:val="24"/>
              </w:rPr>
              <w:t xml:space="preserve">Влияние </w:t>
            </w:r>
            <w:r w:rsidRPr="00D06B0A">
              <w:rPr>
                <w:iCs/>
                <w:sz w:val="24"/>
                <w:szCs w:val="24"/>
              </w:rPr>
              <w:br/>
              <w:t xml:space="preserve">на конкуренцию </w:t>
            </w:r>
            <w:r w:rsidRPr="00D06B0A">
              <w:rPr>
                <w:iCs/>
                <w:sz w:val="24"/>
                <w:szCs w:val="24"/>
              </w:rPr>
              <w:br/>
              <w:t>не оказывает.</w:t>
            </w:r>
          </w:p>
        </w:tc>
        <w:tc>
          <w:tcPr>
            <w:tcW w:w="2921" w:type="dxa"/>
          </w:tcPr>
          <w:p w:rsidR="000168C8" w:rsidRPr="007B18E1" w:rsidRDefault="007B18E1" w:rsidP="00F32965">
            <w:pPr>
              <w:rPr>
                <w:iCs/>
                <w:sz w:val="24"/>
                <w:szCs w:val="24"/>
              </w:rPr>
            </w:pPr>
            <w:r w:rsidRPr="007B18E1">
              <w:rPr>
                <w:iCs/>
                <w:sz w:val="24"/>
                <w:szCs w:val="24"/>
                <w:lang w:val="en-US"/>
              </w:rPr>
              <w:t>http</w:t>
            </w:r>
            <w:r w:rsidRPr="007B18E1">
              <w:rPr>
                <w:iCs/>
                <w:sz w:val="24"/>
                <w:szCs w:val="24"/>
              </w:rPr>
              <w:t>://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kvs</w:t>
            </w:r>
            <w:proofErr w:type="spellEnd"/>
            <w:r w:rsidRPr="007B18E1">
              <w:rPr>
                <w:iCs/>
                <w:sz w:val="24"/>
                <w:szCs w:val="24"/>
              </w:rPr>
              <w:t>.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spb</w:t>
            </w:r>
            <w:proofErr w:type="spellEnd"/>
            <w:r w:rsidRPr="007B18E1">
              <w:rPr>
                <w:iCs/>
                <w:sz w:val="24"/>
                <w:szCs w:val="24"/>
              </w:rPr>
              <w:t>.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7B18E1">
              <w:rPr>
                <w:iCs/>
                <w:sz w:val="24"/>
                <w:szCs w:val="24"/>
              </w:rPr>
              <w:t>/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komitet</w:t>
            </w:r>
            <w:proofErr w:type="spellEnd"/>
            <w:r w:rsidRPr="007B18E1">
              <w:rPr>
                <w:iCs/>
                <w:sz w:val="24"/>
                <w:szCs w:val="24"/>
              </w:rPr>
              <w:t>/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dokumenty</w:t>
            </w:r>
            <w:proofErr w:type="spellEnd"/>
            <w:r w:rsidRPr="007B18E1">
              <w:rPr>
                <w:iCs/>
                <w:sz w:val="24"/>
                <w:szCs w:val="24"/>
              </w:rPr>
              <w:t>/</w:t>
            </w:r>
          </w:p>
        </w:tc>
      </w:tr>
      <w:tr w:rsidR="009016C7" w:rsidRPr="007B18E1" w:rsidTr="00D06B0A">
        <w:tc>
          <w:tcPr>
            <w:tcW w:w="562" w:type="dxa"/>
          </w:tcPr>
          <w:p w:rsidR="009016C7" w:rsidRPr="009016C7" w:rsidRDefault="009016C7" w:rsidP="007B18E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7B18E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:rsidR="009016C7" w:rsidRPr="009016C7" w:rsidRDefault="009016C7" w:rsidP="007B18E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</w:t>
            </w:r>
            <w:r w:rsid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>
              <w:rPr>
                <w:iCs/>
                <w:sz w:val="24"/>
                <w:szCs w:val="24"/>
              </w:rPr>
              <w:t xml:space="preserve"> от 1</w:t>
            </w:r>
            <w:r w:rsidR="00F32965">
              <w:rPr>
                <w:iCs/>
                <w:sz w:val="24"/>
                <w:szCs w:val="24"/>
              </w:rPr>
              <w:t>7</w:t>
            </w:r>
            <w:r>
              <w:rPr>
                <w:iCs/>
                <w:sz w:val="24"/>
                <w:szCs w:val="24"/>
              </w:rPr>
              <w:t xml:space="preserve">.07.2019 № </w:t>
            </w:r>
            <w:r w:rsidR="00F32965">
              <w:rPr>
                <w:iCs/>
                <w:sz w:val="24"/>
                <w:szCs w:val="24"/>
              </w:rPr>
              <w:t>32-п</w:t>
            </w:r>
            <w:r>
              <w:rPr>
                <w:iCs/>
                <w:sz w:val="24"/>
                <w:szCs w:val="24"/>
              </w:rPr>
              <w:t xml:space="preserve"> «</w:t>
            </w:r>
            <w:r w:rsidRPr="009016C7">
              <w:rPr>
                <w:iCs/>
                <w:sz w:val="24"/>
                <w:szCs w:val="24"/>
              </w:rPr>
              <w:t xml:space="preserve">Об утверждении Методики расчета ключевых </w:t>
            </w:r>
            <w:r>
              <w:rPr>
                <w:iCs/>
                <w:sz w:val="24"/>
                <w:szCs w:val="24"/>
              </w:rPr>
              <w:t>показателей эффективности</w:t>
            </w:r>
            <w:r w:rsidRPr="009016C7">
              <w:rPr>
                <w:iCs/>
                <w:sz w:val="24"/>
                <w:szCs w:val="24"/>
              </w:rPr>
              <w:t xml:space="preserve"> функционирования в </w:t>
            </w:r>
            <w:r w:rsidR="00D06B0A" w:rsidRPr="00D06B0A">
              <w:rPr>
                <w:iCs/>
                <w:sz w:val="24"/>
                <w:szCs w:val="24"/>
              </w:rPr>
              <w:t xml:space="preserve">Комитета по внешним связям Санкт-Петербурга </w:t>
            </w:r>
            <w:r w:rsidRPr="009016C7">
              <w:rPr>
                <w:iCs/>
                <w:sz w:val="24"/>
                <w:szCs w:val="24"/>
              </w:rPr>
              <w:t xml:space="preserve">антимонопольного </w:t>
            </w:r>
            <w:proofErr w:type="spellStart"/>
            <w:r w:rsidRPr="009016C7">
              <w:rPr>
                <w:iCs/>
                <w:sz w:val="24"/>
                <w:szCs w:val="24"/>
              </w:rPr>
              <w:t>комплаенса</w:t>
            </w:r>
            <w:proofErr w:type="spellEnd"/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452" w:type="dxa"/>
          </w:tcPr>
          <w:p w:rsidR="009016C7" w:rsidRPr="009016C7" w:rsidRDefault="009016C7" w:rsidP="00F32965">
            <w:pPr>
              <w:rPr>
                <w:iCs/>
                <w:sz w:val="24"/>
                <w:szCs w:val="24"/>
              </w:rPr>
            </w:pPr>
            <w:r w:rsidRPr="009016C7">
              <w:rPr>
                <w:iCs/>
                <w:sz w:val="24"/>
                <w:szCs w:val="24"/>
              </w:rPr>
              <w:t xml:space="preserve">В рамках полномочий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9016C7">
              <w:rPr>
                <w:iCs/>
                <w:sz w:val="24"/>
                <w:szCs w:val="24"/>
              </w:rPr>
              <w:t xml:space="preserve">. </w:t>
            </w:r>
            <w:r w:rsidRPr="00D06B0A">
              <w:rPr>
                <w:iCs/>
                <w:sz w:val="24"/>
                <w:szCs w:val="24"/>
              </w:rPr>
              <w:t xml:space="preserve">Влияние </w:t>
            </w:r>
            <w:r w:rsidRPr="00D06B0A">
              <w:rPr>
                <w:iCs/>
                <w:sz w:val="24"/>
                <w:szCs w:val="24"/>
              </w:rPr>
              <w:br/>
              <w:t xml:space="preserve">на конкуренцию </w:t>
            </w:r>
            <w:r w:rsidRPr="00D06B0A">
              <w:rPr>
                <w:iCs/>
                <w:sz w:val="24"/>
                <w:szCs w:val="24"/>
              </w:rPr>
              <w:br/>
              <w:t>не оказывает.</w:t>
            </w:r>
          </w:p>
        </w:tc>
        <w:tc>
          <w:tcPr>
            <w:tcW w:w="2921" w:type="dxa"/>
          </w:tcPr>
          <w:p w:rsidR="009016C7" w:rsidRPr="007B18E1" w:rsidRDefault="007B18E1" w:rsidP="00F32965">
            <w:pPr>
              <w:rPr>
                <w:sz w:val="24"/>
                <w:szCs w:val="24"/>
              </w:rPr>
            </w:pPr>
            <w:r w:rsidRPr="007B18E1">
              <w:rPr>
                <w:sz w:val="24"/>
                <w:szCs w:val="24"/>
              </w:rPr>
              <w:t>http://kvs.spb.ru/komitet/dokumenty/</w:t>
            </w:r>
          </w:p>
        </w:tc>
      </w:tr>
      <w:tr w:rsidR="009016C7" w:rsidRPr="007B18E1" w:rsidTr="00D06B0A">
        <w:tc>
          <w:tcPr>
            <w:tcW w:w="562" w:type="dxa"/>
          </w:tcPr>
          <w:p w:rsidR="009016C7" w:rsidRPr="009016C7" w:rsidRDefault="009016C7" w:rsidP="007B18E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7B18E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:rsidR="009016C7" w:rsidRPr="009016C7" w:rsidRDefault="009016C7" w:rsidP="007B18E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</w:t>
            </w:r>
            <w:r w:rsid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>
              <w:rPr>
                <w:iCs/>
                <w:sz w:val="24"/>
                <w:szCs w:val="24"/>
              </w:rPr>
              <w:t xml:space="preserve"> от 03.03.2020 № </w:t>
            </w:r>
            <w:r w:rsidR="00F32965" w:rsidRPr="00F32965">
              <w:rPr>
                <w:iCs/>
                <w:sz w:val="24"/>
                <w:szCs w:val="24"/>
              </w:rPr>
              <w:t>9-</w:t>
            </w:r>
            <w:r w:rsidR="00F32965">
              <w:rPr>
                <w:iCs/>
                <w:sz w:val="24"/>
                <w:szCs w:val="24"/>
              </w:rPr>
              <w:t>п</w:t>
            </w:r>
            <w:r>
              <w:rPr>
                <w:iCs/>
                <w:sz w:val="24"/>
                <w:szCs w:val="24"/>
              </w:rPr>
              <w:t xml:space="preserve"> «</w:t>
            </w:r>
            <w:r w:rsidRPr="009016C7">
              <w:rPr>
                <w:iCs/>
                <w:sz w:val="24"/>
                <w:szCs w:val="24"/>
              </w:rPr>
              <w:t xml:space="preserve">Об утверждении </w:t>
            </w:r>
            <w:r w:rsidR="00F32965">
              <w:rPr>
                <w:iCs/>
                <w:sz w:val="24"/>
                <w:szCs w:val="24"/>
              </w:rPr>
              <w:t>П</w:t>
            </w:r>
            <w:r w:rsidRPr="009016C7">
              <w:rPr>
                <w:iCs/>
                <w:sz w:val="24"/>
                <w:szCs w:val="24"/>
              </w:rPr>
              <w:t>лана мероприятий по снижению рисков нарушения антимонопольного законодательства на 2020 год</w:t>
            </w:r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452" w:type="dxa"/>
          </w:tcPr>
          <w:p w:rsidR="009016C7" w:rsidRPr="009016C7" w:rsidRDefault="009016C7" w:rsidP="00F32965">
            <w:pPr>
              <w:rPr>
                <w:iCs/>
                <w:sz w:val="24"/>
                <w:szCs w:val="24"/>
              </w:rPr>
            </w:pPr>
            <w:r w:rsidRPr="009016C7">
              <w:rPr>
                <w:iCs/>
                <w:sz w:val="24"/>
                <w:szCs w:val="24"/>
              </w:rPr>
              <w:t xml:space="preserve">В рамках полномочий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9016C7">
              <w:rPr>
                <w:iCs/>
                <w:sz w:val="24"/>
                <w:szCs w:val="24"/>
              </w:rPr>
              <w:t xml:space="preserve">. </w:t>
            </w:r>
            <w:r w:rsidRPr="00D06B0A">
              <w:rPr>
                <w:iCs/>
                <w:sz w:val="24"/>
                <w:szCs w:val="24"/>
              </w:rPr>
              <w:t xml:space="preserve">Влияние </w:t>
            </w:r>
            <w:r w:rsidR="00F32965">
              <w:rPr>
                <w:iCs/>
                <w:sz w:val="24"/>
                <w:szCs w:val="24"/>
              </w:rPr>
              <w:br/>
            </w:r>
            <w:r w:rsidRPr="00D06B0A">
              <w:rPr>
                <w:iCs/>
                <w:sz w:val="24"/>
                <w:szCs w:val="24"/>
              </w:rPr>
              <w:t xml:space="preserve">на конкуренцию </w:t>
            </w:r>
            <w:r w:rsidRPr="00D06B0A">
              <w:rPr>
                <w:iCs/>
                <w:sz w:val="24"/>
                <w:szCs w:val="24"/>
              </w:rPr>
              <w:br/>
              <w:t>не оказывает.</w:t>
            </w:r>
          </w:p>
        </w:tc>
        <w:tc>
          <w:tcPr>
            <w:tcW w:w="2921" w:type="dxa"/>
          </w:tcPr>
          <w:p w:rsidR="009016C7" w:rsidRPr="007B18E1" w:rsidRDefault="007B18E1" w:rsidP="00F32965">
            <w:pPr>
              <w:rPr>
                <w:sz w:val="24"/>
                <w:szCs w:val="24"/>
              </w:rPr>
            </w:pPr>
            <w:r w:rsidRPr="007B18E1">
              <w:rPr>
                <w:sz w:val="24"/>
                <w:szCs w:val="24"/>
              </w:rPr>
              <w:t>http://kvs.spb.ru/komitet/dokumenty/</w:t>
            </w:r>
          </w:p>
        </w:tc>
      </w:tr>
    </w:tbl>
    <w:p w:rsidR="003D1A8E" w:rsidRPr="007B18E1" w:rsidRDefault="003D1A8E" w:rsidP="000168C8">
      <w:pPr>
        <w:jc w:val="both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D06B0A" w:rsidRPr="00F32965" w:rsidRDefault="00D06B0A" w:rsidP="00D06B0A">
      <w:pPr>
        <w:ind w:left="4962"/>
        <w:rPr>
          <w:b/>
        </w:rPr>
      </w:pPr>
      <w:r w:rsidRPr="00F32965">
        <w:rPr>
          <w:b/>
        </w:rPr>
        <w:lastRenderedPageBreak/>
        <w:t xml:space="preserve">Приложение № 2 </w:t>
      </w:r>
    </w:p>
    <w:p w:rsidR="00D06B0A" w:rsidRPr="002F6807" w:rsidRDefault="00D06B0A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к Уведомлению о начале сбора замечаний и предложений </w:t>
      </w:r>
    </w:p>
    <w:p w:rsidR="00D06B0A" w:rsidRDefault="00D06B0A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граждан и юридических лиц по </w:t>
      </w:r>
      <w:r>
        <w:rPr>
          <w:rStyle w:val="ae"/>
          <w:b w:val="0"/>
          <w:color w:val="333333"/>
          <w:sz w:val="20"/>
          <w:szCs w:val="20"/>
        </w:rPr>
        <w:t>П</w:t>
      </w:r>
      <w:r w:rsidRPr="002F6807">
        <w:rPr>
          <w:rStyle w:val="ae"/>
          <w:b w:val="0"/>
          <w:color w:val="333333"/>
          <w:sz w:val="20"/>
          <w:szCs w:val="20"/>
        </w:rPr>
        <w:t>еречню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 </w:t>
      </w:r>
      <w:r w:rsidRPr="002F6807">
        <w:rPr>
          <w:rStyle w:val="ae"/>
          <w:b w:val="0"/>
          <w:sz w:val="20"/>
          <w:szCs w:val="20"/>
        </w:rPr>
        <w:t>(</w:t>
      </w:r>
      <w:r w:rsidRPr="002F6807">
        <w:rPr>
          <w:rStyle w:val="ae"/>
          <w:b w:val="0"/>
          <w:color w:val="333333"/>
          <w:sz w:val="20"/>
          <w:szCs w:val="20"/>
        </w:rPr>
        <w:t>проектов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актов) </w:t>
      </w:r>
      <w:r w:rsidRPr="00D06B0A">
        <w:rPr>
          <w:rStyle w:val="ae"/>
          <w:b w:val="0"/>
          <w:color w:val="333333"/>
          <w:sz w:val="20"/>
          <w:szCs w:val="20"/>
        </w:rPr>
        <w:t>Комитета по внешним связям Санкт-Петербурга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20</w:t>
      </w:r>
      <w:r w:rsidR="00837A14">
        <w:rPr>
          <w:rStyle w:val="ae"/>
          <w:b w:val="0"/>
          <w:color w:val="333333"/>
          <w:sz w:val="20"/>
          <w:szCs w:val="20"/>
        </w:rPr>
        <w:t>21</w:t>
      </w:r>
      <w:r w:rsidRPr="002F6807">
        <w:rPr>
          <w:rStyle w:val="ae"/>
          <w:b w:val="0"/>
          <w:color w:val="333333"/>
          <w:sz w:val="20"/>
          <w:szCs w:val="20"/>
        </w:rPr>
        <w:t>-20</w:t>
      </w:r>
      <w:r w:rsidR="00837A14">
        <w:rPr>
          <w:rStyle w:val="ae"/>
          <w:b w:val="0"/>
          <w:color w:val="333333"/>
          <w:sz w:val="20"/>
          <w:szCs w:val="20"/>
        </w:rPr>
        <w:t>22</w:t>
      </w:r>
      <w:r w:rsidRPr="002F6807">
        <w:rPr>
          <w:rStyle w:val="ae"/>
          <w:b w:val="0"/>
          <w:color w:val="333333"/>
          <w:sz w:val="20"/>
          <w:szCs w:val="20"/>
        </w:rPr>
        <w:t xml:space="preserve"> годов в целях выявления и исключения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рисков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нарушения антимонопольного законодательства, решения вопроса </w:t>
      </w:r>
    </w:p>
    <w:p w:rsidR="00D06B0A" w:rsidRPr="002F6807" w:rsidRDefault="00D06B0A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>о целесообразности (нецелесообразности) внесения изменений в указанные нормативные правовые акты</w:t>
      </w:r>
    </w:p>
    <w:p w:rsidR="00B444A9" w:rsidRPr="00FD1F62" w:rsidRDefault="00E45432" w:rsidP="003D040C">
      <w:pPr>
        <w:rPr>
          <w:b/>
          <w:i/>
          <w:iCs/>
          <w:sz w:val="24"/>
          <w:szCs w:val="24"/>
        </w:rPr>
      </w:pPr>
      <w:r w:rsidRPr="00FD1F62">
        <w:rPr>
          <w:b/>
          <w:i/>
          <w:iCs/>
          <w:sz w:val="24"/>
          <w:szCs w:val="24"/>
        </w:rPr>
        <w:t>Форма</w:t>
      </w:r>
    </w:p>
    <w:p w:rsidR="00F32965" w:rsidRDefault="00A74D2A" w:rsidP="00A74D2A">
      <w:pPr>
        <w:ind w:left="5387"/>
        <w:rPr>
          <w:b/>
          <w:iCs/>
          <w:sz w:val="24"/>
          <w:szCs w:val="24"/>
        </w:rPr>
      </w:pPr>
      <w:r w:rsidRPr="00D06B0A">
        <w:rPr>
          <w:b/>
          <w:iCs/>
          <w:sz w:val="24"/>
          <w:szCs w:val="24"/>
        </w:rPr>
        <w:t xml:space="preserve">В </w:t>
      </w:r>
      <w:r w:rsidR="00D06B0A" w:rsidRPr="00D06B0A">
        <w:rPr>
          <w:b/>
          <w:iCs/>
          <w:sz w:val="24"/>
          <w:szCs w:val="24"/>
        </w:rPr>
        <w:t xml:space="preserve">Комитет по внешним связям </w:t>
      </w:r>
    </w:p>
    <w:p w:rsidR="00E45432" w:rsidRPr="00D06B0A" w:rsidRDefault="00D06B0A" w:rsidP="00A74D2A">
      <w:pPr>
        <w:ind w:left="5387"/>
        <w:rPr>
          <w:b/>
          <w:iCs/>
          <w:sz w:val="24"/>
          <w:szCs w:val="24"/>
        </w:rPr>
      </w:pPr>
      <w:r w:rsidRPr="00D06B0A">
        <w:rPr>
          <w:b/>
          <w:iCs/>
          <w:sz w:val="24"/>
          <w:szCs w:val="24"/>
        </w:rPr>
        <w:t>Санкт-Петербурга</w:t>
      </w:r>
    </w:p>
    <w:p w:rsidR="0058491D" w:rsidRPr="00D06B0A" w:rsidRDefault="0058491D" w:rsidP="00A74D2A">
      <w:pPr>
        <w:ind w:left="5387"/>
        <w:rPr>
          <w:b/>
          <w:bCs/>
          <w:sz w:val="24"/>
          <w:szCs w:val="24"/>
        </w:rPr>
      </w:pPr>
    </w:p>
    <w:p w:rsidR="00E45432" w:rsidRPr="00D06B0A" w:rsidRDefault="00E45432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от_____________________________</w:t>
      </w:r>
    </w:p>
    <w:p w:rsidR="00E45432" w:rsidRPr="00D06B0A" w:rsidRDefault="00E45432" w:rsidP="00A74D2A">
      <w:pPr>
        <w:ind w:left="5387"/>
        <w:rPr>
          <w:bCs/>
          <w:i/>
          <w:sz w:val="24"/>
          <w:szCs w:val="24"/>
        </w:rPr>
      </w:pPr>
      <w:r w:rsidRPr="00D06B0A">
        <w:rPr>
          <w:bCs/>
          <w:i/>
          <w:sz w:val="24"/>
          <w:szCs w:val="24"/>
        </w:rPr>
        <w:t>(</w:t>
      </w:r>
      <w:r w:rsidR="00A74D2A" w:rsidRPr="00D06B0A">
        <w:rPr>
          <w:bCs/>
          <w:i/>
          <w:sz w:val="24"/>
          <w:szCs w:val="24"/>
        </w:rPr>
        <w:t xml:space="preserve">Ф.И.О., </w:t>
      </w:r>
      <w:r w:rsidR="0058491D" w:rsidRPr="00D06B0A">
        <w:rPr>
          <w:bCs/>
          <w:i/>
          <w:sz w:val="24"/>
          <w:szCs w:val="24"/>
        </w:rPr>
        <w:t>н</w:t>
      </w:r>
      <w:r w:rsidR="00A74D2A" w:rsidRPr="00D06B0A">
        <w:rPr>
          <w:bCs/>
          <w:i/>
          <w:sz w:val="24"/>
          <w:szCs w:val="24"/>
        </w:rPr>
        <w:t>аименование организации</w:t>
      </w:r>
      <w:r w:rsidRPr="00D06B0A">
        <w:rPr>
          <w:bCs/>
          <w:i/>
          <w:sz w:val="24"/>
          <w:szCs w:val="24"/>
        </w:rPr>
        <w:t>)</w:t>
      </w:r>
    </w:p>
    <w:p w:rsidR="00E45432" w:rsidRPr="00D06B0A" w:rsidRDefault="00E45432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_____________________________</w:t>
      </w:r>
    </w:p>
    <w:p w:rsidR="00E45432" w:rsidRPr="00D06B0A" w:rsidRDefault="00E45432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_______</w:t>
      </w:r>
      <w:r w:rsidR="0058491D" w:rsidRPr="00D06B0A">
        <w:rPr>
          <w:b/>
          <w:bCs/>
          <w:sz w:val="24"/>
          <w:szCs w:val="24"/>
        </w:rPr>
        <w:t>_</w:t>
      </w:r>
      <w:r w:rsidRPr="00D06B0A">
        <w:rPr>
          <w:b/>
          <w:bCs/>
          <w:sz w:val="24"/>
          <w:szCs w:val="24"/>
        </w:rPr>
        <w:t>_____________________</w:t>
      </w:r>
    </w:p>
    <w:p w:rsidR="0058491D" w:rsidRPr="00D06B0A" w:rsidRDefault="0058491D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_____________________________</w:t>
      </w:r>
    </w:p>
    <w:p w:rsidR="00E45432" w:rsidRPr="00D06B0A" w:rsidRDefault="00E45432" w:rsidP="00A74D2A">
      <w:pPr>
        <w:ind w:left="5387"/>
        <w:rPr>
          <w:bCs/>
          <w:i/>
          <w:sz w:val="24"/>
          <w:szCs w:val="24"/>
        </w:rPr>
      </w:pPr>
      <w:r w:rsidRPr="00D06B0A">
        <w:rPr>
          <w:bCs/>
          <w:i/>
          <w:sz w:val="24"/>
          <w:szCs w:val="24"/>
        </w:rPr>
        <w:t xml:space="preserve">(адрес местонахождения/проживания </w:t>
      </w:r>
      <w:r w:rsidR="00A74D2A" w:rsidRPr="00D06B0A">
        <w:rPr>
          <w:bCs/>
          <w:i/>
          <w:sz w:val="24"/>
          <w:szCs w:val="24"/>
        </w:rPr>
        <w:br/>
      </w:r>
      <w:r w:rsidRPr="00D06B0A">
        <w:rPr>
          <w:bCs/>
          <w:i/>
          <w:sz w:val="24"/>
          <w:szCs w:val="24"/>
        </w:rPr>
        <w:t>с указанием почтового индекса</w:t>
      </w:r>
      <w:r w:rsidR="00B444A9" w:rsidRPr="00D06B0A">
        <w:rPr>
          <w:bCs/>
          <w:i/>
          <w:sz w:val="24"/>
          <w:szCs w:val="24"/>
        </w:rPr>
        <w:t xml:space="preserve"> </w:t>
      </w:r>
      <w:r w:rsidR="00A74D2A" w:rsidRPr="00D06B0A">
        <w:rPr>
          <w:bCs/>
          <w:i/>
          <w:sz w:val="24"/>
          <w:szCs w:val="24"/>
        </w:rPr>
        <w:br/>
      </w:r>
      <w:r w:rsidR="00B444A9" w:rsidRPr="00D06B0A">
        <w:rPr>
          <w:bCs/>
          <w:i/>
          <w:sz w:val="24"/>
          <w:szCs w:val="24"/>
        </w:rPr>
        <w:t>и</w:t>
      </w:r>
      <w:r w:rsidRPr="00D06B0A">
        <w:rPr>
          <w:bCs/>
          <w:i/>
          <w:sz w:val="24"/>
          <w:szCs w:val="24"/>
        </w:rPr>
        <w:t xml:space="preserve"> адре</w:t>
      </w:r>
      <w:r w:rsidR="00B444A9" w:rsidRPr="00D06B0A">
        <w:rPr>
          <w:bCs/>
          <w:i/>
          <w:sz w:val="24"/>
          <w:szCs w:val="24"/>
        </w:rPr>
        <w:t>са</w:t>
      </w:r>
      <w:r w:rsidRPr="00D06B0A">
        <w:rPr>
          <w:bCs/>
          <w:i/>
          <w:sz w:val="24"/>
          <w:szCs w:val="24"/>
        </w:rPr>
        <w:t xml:space="preserve"> электронной почты)</w:t>
      </w:r>
    </w:p>
    <w:p w:rsidR="00B444A9" w:rsidRPr="00D06B0A" w:rsidRDefault="00E45432">
      <w:pPr>
        <w:spacing w:before="240"/>
        <w:jc w:val="center"/>
        <w:rPr>
          <w:sz w:val="24"/>
          <w:szCs w:val="24"/>
        </w:rPr>
      </w:pPr>
      <w:r w:rsidRPr="00D06B0A">
        <w:rPr>
          <w:b/>
          <w:bCs/>
          <w:sz w:val="24"/>
          <w:szCs w:val="24"/>
        </w:rPr>
        <w:t>ИНФОРМАЦИЯ</w:t>
      </w:r>
      <w:r w:rsidR="00B444A9" w:rsidRPr="00D06B0A">
        <w:rPr>
          <w:b/>
          <w:bCs/>
          <w:sz w:val="24"/>
          <w:szCs w:val="24"/>
        </w:rPr>
        <w:br/>
      </w:r>
      <w:r w:rsidRPr="00D06B0A">
        <w:rPr>
          <w:sz w:val="24"/>
          <w:szCs w:val="24"/>
        </w:rPr>
        <w:t>о замечаниях и предложениях</w:t>
      </w:r>
    </w:p>
    <w:p w:rsidR="002F6807" w:rsidRPr="00D06B0A" w:rsidRDefault="002F6807" w:rsidP="002F6807">
      <w:pPr>
        <w:jc w:val="center"/>
        <w:rPr>
          <w:sz w:val="24"/>
          <w:szCs w:val="24"/>
        </w:rPr>
      </w:pPr>
    </w:p>
    <w:p w:rsidR="00B444A9" w:rsidRPr="00D06B0A" w:rsidRDefault="00B444A9" w:rsidP="00D06B0A">
      <w:pPr>
        <w:tabs>
          <w:tab w:val="right" w:pos="9921"/>
        </w:tabs>
        <w:ind w:firstLine="709"/>
        <w:jc w:val="both"/>
        <w:rPr>
          <w:sz w:val="24"/>
          <w:szCs w:val="24"/>
        </w:rPr>
      </w:pPr>
      <w:r w:rsidRPr="00D06B0A">
        <w:rPr>
          <w:sz w:val="24"/>
          <w:szCs w:val="24"/>
        </w:rPr>
        <w:t xml:space="preserve">В </w:t>
      </w:r>
      <w:r w:rsidR="00CB229D" w:rsidRPr="00D06B0A">
        <w:rPr>
          <w:sz w:val="24"/>
          <w:szCs w:val="24"/>
        </w:rPr>
        <w:t>связи</w:t>
      </w:r>
      <w:r w:rsidRPr="00D06B0A">
        <w:rPr>
          <w:sz w:val="24"/>
          <w:szCs w:val="24"/>
        </w:rPr>
        <w:t xml:space="preserve"> с </w:t>
      </w:r>
      <w:r w:rsidR="00E45432" w:rsidRPr="00D06B0A">
        <w:rPr>
          <w:sz w:val="24"/>
          <w:szCs w:val="24"/>
        </w:rPr>
        <w:t xml:space="preserve">уведомлением </w:t>
      </w:r>
      <w:r w:rsidR="00D06B0A" w:rsidRPr="00D06B0A">
        <w:rPr>
          <w:sz w:val="24"/>
          <w:szCs w:val="24"/>
        </w:rPr>
        <w:t>Комитета по внешним связям Санкт-Петербурга</w:t>
      </w:r>
      <w:r w:rsidR="003D040C" w:rsidRPr="00D06B0A">
        <w:rPr>
          <w:sz w:val="24"/>
          <w:szCs w:val="24"/>
        </w:rPr>
        <w:t xml:space="preserve"> (далее – Комитет)</w:t>
      </w:r>
      <w:r w:rsidR="00E45432" w:rsidRPr="00D06B0A">
        <w:rPr>
          <w:sz w:val="24"/>
          <w:szCs w:val="24"/>
        </w:rPr>
        <w:t xml:space="preserve"> о начале сбора замечаний и предложений </w:t>
      </w:r>
      <w:r w:rsidR="00A74D2A" w:rsidRPr="00D06B0A">
        <w:rPr>
          <w:sz w:val="24"/>
          <w:szCs w:val="24"/>
        </w:rPr>
        <w:t>по П</w:t>
      </w:r>
      <w:r w:rsidR="00CB229D" w:rsidRPr="00D06B0A">
        <w:rPr>
          <w:sz w:val="24"/>
          <w:szCs w:val="24"/>
        </w:rPr>
        <w:t>еречню нормативных правовых актов (проектов нормативных правовых актов), размещенн</w:t>
      </w:r>
      <w:r w:rsidRPr="00D06B0A">
        <w:rPr>
          <w:sz w:val="24"/>
          <w:szCs w:val="24"/>
        </w:rPr>
        <w:t>о</w:t>
      </w:r>
      <w:r w:rsidR="00A74D2A" w:rsidRPr="00D06B0A">
        <w:rPr>
          <w:sz w:val="24"/>
          <w:szCs w:val="24"/>
        </w:rPr>
        <w:t>му на</w:t>
      </w:r>
      <w:r w:rsidR="00CB229D" w:rsidRPr="00D06B0A">
        <w:rPr>
          <w:sz w:val="24"/>
          <w:szCs w:val="24"/>
        </w:rPr>
        <w:t xml:space="preserve"> </w:t>
      </w:r>
      <w:r w:rsidR="003D040C" w:rsidRPr="00D06B0A">
        <w:rPr>
          <w:sz w:val="24"/>
          <w:szCs w:val="24"/>
        </w:rPr>
        <w:t>веб-странице Комитета официального сайта Администрации Губернатора Санкт-Петербурга в информационно-телекоммуникационной сети «Интернет»__________</w:t>
      </w:r>
      <w:r w:rsidR="00CB229D" w:rsidRPr="00D06B0A">
        <w:rPr>
          <w:sz w:val="24"/>
          <w:szCs w:val="24"/>
        </w:rPr>
        <w:t xml:space="preserve">(дата размещения) </w:t>
      </w:r>
      <w:r w:rsidR="00E45432" w:rsidRPr="00D06B0A">
        <w:rPr>
          <w:sz w:val="24"/>
          <w:szCs w:val="24"/>
        </w:rPr>
        <w:t xml:space="preserve">в целях выявления рисков нарушения антимонопольного законодательства Российской Федерации </w:t>
      </w:r>
      <w:r w:rsidR="00CB229D" w:rsidRPr="00D06B0A">
        <w:rPr>
          <w:sz w:val="24"/>
          <w:szCs w:val="24"/>
        </w:rPr>
        <w:t>в рамках функционирования</w:t>
      </w:r>
      <w:r w:rsidR="00E45432" w:rsidRPr="00D06B0A">
        <w:rPr>
          <w:sz w:val="24"/>
          <w:szCs w:val="24"/>
        </w:rPr>
        <w:t xml:space="preserve"> системы внутреннего контроля за соблюдением соответствия требованиям антимонопольного законодательства Российской Федерации, </w:t>
      </w:r>
      <w:r w:rsidR="00CB229D" w:rsidRPr="00D06B0A">
        <w:rPr>
          <w:sz w:val="24"/>
          <w:szCs w:val="24"/>
        </w:rPr>
        <w:t>сообщаем, что в</w:t>
      </w:r>
      <w:r w:rsidR="00ED4102" w:rsidRPr="00D06B0A">
        <w:rPr>
          <w:sz w:val="24"/>
          <w:szCs w:val="24"/>
        </w:rPr>
        <w:t xml:space="preserve"> указанной перечень включен</w:t>
      </w:r>
    </w:p>
    <w:p w:rsidR="00CB229D" w:rsidRPr="00D06B0A" w:rsidRDefault="00CB229D" w:rsidP="0058491D">
      <w:pPr>
        <w:jc w:val="both"/>
        <w:rPr>
          <w:sz w:val="24"/>
          <w:szCs w:val="24"/>
        </w:rPr>
      </w:pPr>
      <w:r w:rsidRPr="00D06B0A">
        <w:rPr>
          <w:sz w:val="24"/>
          <w:szCs w:val="24"/>
        </w:rPr>
        <w:t>______________________________________________________________</w:t>
      </w:r>
      <w:r w:rsidR="0058491D" w:rsidRPr="00D06B0A">
        <w:rPr>
          <w:sz w:val="24"/>
          <w:szCs w:val="24"/>
        </w:rPr>
        <w:t>____</w:t>
      </w:r>
      <w:r w:rsidRPr="00D06B0A">
        <w:rPr>
          <w:sz w:val="24"/>
          <w:szCs w:val="24"/>
        </w:rPr>
        <w:t>_________</w:t>
      </w:r>
    </w:p>
    <w:p w:rsidR="00ED4102" w:rsidRDefault="00CB229D" w:rsidP="00ED4102">
      <w:pPr>
        <w:jc w:val="center"/>
        <w:rPr>
          <w:i/>
        </w:rPr>
      </w:pPr>
      <w:r w:rsidRPr="00F32965">
        <w:rPr>
          <w:i/>
        </w:rPr>
        <w:t>(наименовани</w:t>
      </w:r>
      <w:r w:rsidR="0058491D" w:rsidRPr="00F32965">
        <w:rPr>
          <w:i/>
        </w:rPr>
        <w:t>е</w:t>
      </w:r>
      <w:r w:rsidRPr="00F32965">
        <w:rPr>
          <w:i/>
        </w:rPr>
        <w:t xml:space="preserve"> и реквизиты нормативного правового акта или проекта нормативного правового акта</w:t>
      </w:r>
      <w:r w:rsidR="0058491D" w:rsidRPr="00F32965">
        <w:rPr>
          <w:i/>
        </w:rPr>
        <w:t>)</w:t>
      </w:r>
    </w:p>
    <w:p w:rsidR="00F32965" w:rsidRPr="00F32965" w:rsidRDefault="00F32965" w:rsidP="00ED4102">
      <w:pPr>
        <w:jc w:val="center"/>
        <w:rPr>
          <w:i/>
        </w:rPr>
      </w:pPr>
    </w:p>
    <w:p w:rsidR="00CB229D" w:rsidRPr="00D06B0A" w:rsidRDefault="00ED4102" w:rsidP="00F32965">
      <w:pPr>
        <w:jc w:val="both"/>
        <w:rPr>
          <w:i/>
          <w:sz w:val="24"/>
          <w:szCs w:val="24"/>
        </w:rPr>
      </w:pPr>
      <w:r w:rsidRPr="00D06B0A">
        <w:rPr>
          <w:sz w:val="24"/>
          <w:szCs w:val="24"/>
        </w:rPr>
        <w:t xml:space="preserve">, в котором </w:t>
      </w:r>
      <w:r w:rsidR="00CB229D" w:rsidRPr="00D06B0A">
        <w:rPr>
          <w:sz w:val="24"/>
          <w:szCs w:val="24"/>
        </w:rPr>
        <w:t>содержатся положения, влекущие риск нарушения антимонопольного законодательства:</w:t>
      </w:r>
    </w:p>
    <w:p w:rsidR="00CB229D" w:rsidRPr="00D06B0A" w:rsidRDefault="00CB229D" w:rsidP="0058491D">
      <w:pPr>
        <w:jc w:val="both"/>
        <w:rPr>
          <w:sz w:val="24"/>
          <w:szCs w:val="24"/>
        </w:rPr>
      </w:pPr>
      <w:r w:rsidRPr="00D06B0A">
        <w:rPr>
          <w:sz w:val="24"/>
          <w:szCs w:val="24"/>
        </w:rPr>
        <w:t>__________________________________________________________________</w:t>
      </w:r>
      <w:r w:rsidR="0058491D" w:rsidRPr="00D06B0A">
        <w:rPr>
          <w:sz w:val="24"/>
          <w:szCs w:val="24"/>
        </w:rPr>
        <w:t>___</w:t>
      </w:r>
      <w:r w:rsidRPr="00D06B0A">
        <w:rPr>
          <w:sz w:val="24"/>
          <w:szCs w:val="24"/>
        </w:rPr>
        <w:t>_____</w:t>
      </w:r>
    </w:p>
    <w:p w:rsidR="00B444A9" w:rsidRPr="00D06B0A" w:rsidRDefault="00B444A9" w:rsidP="0058491D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 w:rsidRPr="00D06B0A">
        <w:rPr>
          <w:sz w:val="24"/>
          <w:szCs w:val="24"/>
        </w:rPr>
        <w:tab/>
      </w:r>
      <w:r w:rsidRPr="00D06B0A">
        <w:rPr>
          <w:rStyle w:val="a9"/>
          <w:sz w:val="24"/>
          <w:szCs w:val="24"/>
          <w:vertAlign w:val="baseline"/>
        </w:rPr>
        <w:footnoteReference w:customMarkFollows="1" w:id="1"/>
        <w:t>*</w:t>
      </w:r>
      <w:r w:rsidRPr="00D06B0A">
        <w:rPr>
          <w:sz w:val="24"/>
          <w:szCs w:val="24"/>
        </w:rPr>
        <w:t>.</w:t>
      </w:r>
    </w:p>
    <w:p w:rsidR="00B444A9" w:rsidRPr="00D06B0A" w:rsidRDefault="00B444A9" w:rsidP="0058491D">
      <w:pPr>
        <w:pBdr>
          <w:top w:val="single" w:sz="4" w:space="1" w:color="auto"/>
        </w:pBdr>
        <w:ind w:right="255" w:firstLine="567"/>
        <w:jc w:val="both"/>
        <w:rPr>
          <w:sz w:val="24"/>
          <w:szCs w:val="24"/>
        </w:rPr>
      </w:pPr>
    </w:p>
    <w:p w:rsidR="00B444A9" w:rsidRPr="00D06B0A" w:rsidRDefault="00B444A9" w:rsidP="0058491D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 w:rsidRPr="00D06B0A">
        <w:rPr>
          <w:sz w:val="24"/>
          <w:szCs w:val="24"/>
        </w:rPr>
        <w:t xml:space="preserve">В целях устранения </w:t>
      </w:r>
      <w:r w:rsidR="0058491D" w:rsidRPr="00D06B0A">
        <w:rPr>
          <w:sz w:val="24"/>
          <w:szCs w:val="24"/>
        </w:rPr>
        <w:t>рисков нарушения антимонопольного законодательства</w:t>
      </w:r>
      <w:r w:rsidRPr="00D06B0A">
        <w:rPr>
          <w:sz w:val="24"/>
          <w:szCs w:val="24"/>
        </w:rPr>
        <w:t xml:space="preserve"> предлагается</w:t>
      </w:r>
      <w:r w:rsidR="0058491D" w:rsidRPr="00D06B0A">
        <w:rPr>
          <w:sz w:val="24"/>
          <w:szCs w:val="24"/>
        </w:rPr>
        <w:t>:</w:t>
      </w:r>
      <w:r w:rsidRPr="00D06B0A">
        <w:rPr>
          <w:sz w:val="24"/>
          <w:szCs w:val="24"/>
        </w:rPr>
        <w:br/>
      </w:r>
      <w:r w:rsidRPr="00D06B0A">
        <w:rPr>
          <w:sz w:val="24"/>
          <w:szCs w:val="24"/>
        </w:rPr>
        <w:tab/>
        <w:t>.</w:t>
      </w:r>
    </w:p>
    <w:p w:rsidR="00B444A9" w:rsidRPr="00F32965" w:rsidRDefault="00B444A9" w:rsidP="0058491D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F32965">
        <w:rPr>
          <w:i/>
        </w:rPr>
        <w:t xml:space="preserve">(указывается способ устранения </w:t>
      </w:r>
      <w:r w:rsidR="0058491D" w:rsidRPr="00F32965">
        <w:rPr>
          <w:i/>
        </w:rPr>
        <w:t>рисков</w:t>
      </w:r>
      <w:r w:rsidRPr="00F32965">
        <w:rPr>
          <w:i/>
        </w:rPr>
        <w:t>)</w:t>
      </w:r>
    </w:p>
    <w:tbl>
      <w:tblPr>
        <w:tblW w:w="10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164"/>
        <w:gridCol w:w="1369"/>
        <w:gridCol w:w="383"/>
        <w:gridCol w:w="356"/>
        <w:gridCol w:w="547"/>
        <w:gridCol w:w="547"/>
        <w:gridCol w:w="2464"/>
        <w:gridCol w:w="164"/>
        <w:gridCol w:w="3806"/>
      </w:tblGrid>
      <w:tr w:rsidR="004724E7" w:rsidRPr="00D06B0A" w:rsidTr="002F6807">
        <w:trPr>
          <w:trHeight w:val="505"/>
        </w:trPr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ED4102" w:rsidP="0058491D">
            <w:pPr>
              <w:ind w:firstLine="567"/>
              <w:jc w:val="both"/>
              <w:rPr>
                <w:sz w:val="24"/>
                <w:szCs w:val="24"/>
              </w:rPr>
            </w:pPr>
            <w:r w:rsidRPr="00D06B0A">
              <w:rPr>
                <w:sz w:val="24"/>
                <w:szCs w:val="24"/>
              </w:rPr>
              <w:t>220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ED41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4724E7" w:rsidP="00ED41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724E7" w:rsidRPr="00D06B0A" w:rsidTr="002F6807">
        <w:trPr>
          <w:trHeight w:val="22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  <w:r w:rsidRPr="00D06B0A">
              <w:rPr>
                <w:sz w:val="24"/>
                <w:szCs w:val="24"/>
              </w:rPr>
              <w:t>(подпись)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  <w:r w:rsidRPr="00D06B0A">
              <w:rPr>
                <w:sz w:val="24"/>
                <w:szCs w:val="24"/>
              </w:rPr>
              <w:t>(расшифровка подписи))</w:t>
            </w:r>
          </w:p>
        </w:tc>
      </w:tr>
    </w:tbl>
    <w:p w:rsidR="0058491D" w:rsidRDefault="0058491D" w:rsidP="002F6807">
      <w:pPr>
        <w:rPr>
          <w:sz w:val="24"/>
          <w:szCs w:val="24"/>
        </w:rPr>
      </w:pPr>
    </w:p>
    <w:sectPr w:rsidR="0058491D" w:rsidSect="00ED4102">
      <w:pgSz w:w="11906" w:h="16838" w:code="9"/>
      <w:pgMar w:top="709" w:right="851" w:bottom="567" w:left="993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76" w:rsidRDefault="00A72C76">
      <w:r>
        <w:separator/>
      </w:r>
    </w:p>
  </w:endnote>
  <w:endnote w:type="continuationSeparator" w:id="0">
    <w:p w:rsidR="00A72C76" w:rsidRDefault="00A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76" w:rsidRDefault="00A72C76">
      <w:r>
        <w:separator/>
      </w:r>
    </w:p>
  </w:footnote>
  <w:footnote w:type="continuationSeparator" w:id="0">
    <w:p w:rsidR="00A72C76" w:rsidRDefault="00A72C76">
      <w:r>
        <w:continuationSeparator/>
      </w:r>
    </w:p>
  </w:footnote>
  <w:footnote w:id="1">
    <w:p w:rsidR="00CF206A" w:rsidRDefault="00B444A9" w:rsidP="00C96995">
      <w:pPr>
        <w:adjustRightInd w:val="0"/>
        <w:ind w:left="540"/>
        <w:jc w:val="both"/>
      </w:pPr>
      <w:r w:rsidRPr="0058491D">
        <w:rPr>
          <w:rStyle w:val="a9"/>
          <w:sz w:val="22"/>
          <w:szCs w:val="22"/>
          <w:vertAlign w:val="baseline"/>
        </w:rPr>
        <w:t>*</w:t>
      </w:r>
      <w:r w:rsidRPr="0058491D">
        <w:rPr>
          <w:sz w:val="22"/>
          <w:szCs w:val="22"/>
        </w:rPr>
        <w:t> </w:t>
      </w:r>
      <w:r w:rsidRPr="004724E7">
        <w:t xml:space="preserve">Отражаются все положения нормативного правового акта или проекта нормативного правового акта, </w:t>
      </w:r>
      <w:r w:rsidR="002F6807">
        <w:br/>
      </w:r>
      <w:r w:rsidRPr="004724E7">
        <w:t xml:space="preserve">в котором </w:t>
      </w:r>
      <w:r w:rsidR="00CB229D" w:rsidRPr="004724E7">
        <w:t>содержатся положения, влекущие риск нарушения антимонопольного законодательства</w:t>
      </w:r>
      <w:r w:rsidR="0058491D" w:rsidRPr="004724E7">
        <w:t xml:space="preserve"> (</w:t>
      </w:r>
      <w:r w:rsidR="00CB229D" w:rsidRPr="004724E7">
        <w:t xml:space="preserve">с указанием </w:t>
      </w:r>
      <w:r w:rsidRPr="004724E7">
        <w:t>разделов, глав, статей, частей, пунктов, подпунктов, абзацев)</w:t>
      </w:r>
      <w:r w:rsidR="00CB229D" w:rsidRPr="004724E7">
        <w:t xml:space="preserve"> нормативного правового акта (проекта нормативного правового акта)</w:t>
      </w:r>
      <w:r w:rsidRPr="004724E7">
        <w:t xml:space="preserve">, </w:t>
      </w:r>
      <w:r w:rsidR="0058491D" w:rsidRPr="004724E7">
        <w:t>со ссылкой на нормы Федерального закона от 26.07.2006 №</w:t>
      </w:r>
      <w:r w:rsidR="00FD1F62">
        <w:t xml:space="preserve"> 135-ФЗ </w:t>
      </w:r>
      <w:r w:rsidR="003D040C">
        <w:t>«</w:t>
      </w:r>
      <w:r w:rsidR="00ED4102">
        <w:t>О защите конкуренции</w:t>
      </w:r>
      <w:r w:rsidR="003D040C">
        <w:t>»</w:t>
      </w:r>
      <w:r w:rsidR="0058491D" w:rsidRPr="004724E7">
        <w:t xml:space="preserve"> и правовым обоснованием возможных рисков нарушения ант</w:t>
      </w:r>
      <w:r w:rsidR="00C96995">
        <w:t>имонопольного законодательства.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546A"/>
    <w:multiLevelType w:val="multilevel"/>
    <w:tmpl w:val="376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05D7D"/>
    <w:multiLevelType w:val="hybridMultilevel"/>
    <w:tmpl w:val="6C767E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C4BE9"/>
    <w:multiLevelType w:val="hybridMultilevel"/>
    <w:tmpl w:val="2CF63B48"/>
    <w:lvl w:ilvl="0" w:tplc="23504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32"/>
    <w:rsid w:val="000168C8"/>
    <w:rsid w:val="001E07A5"/>
    <w:rsid w:val="00215EDE"/>
    <w:rsid w:val="002F6807"/>
    <w:rsid w:val="00374149"/>
    <w:rsid w:val="003D040C"/>
    <w:rsid w:val="003D1A8E"/>
    <w:rsid w:val="004303C0"/>
    <w:rsid w:val="004724E7"/>
    <w:rsid w:val="004A6748"/>
    <w:rsid w:val="0058491D"/>
    <w:rsid w:val="0067660C"/>
    <w:rsid w:val="007B18E1"/>
    <w:rsid w:val="00837A14"/>
    <w:rsid w:val="00857C8F"/>
    <w:rsid w:val="00892210"/>
    <w:rsid w:val="009016C7"/>
    <w:rsid w:val="0091112F"/>
    <w:rsid w:val="009B57C0"/>
    <w:rsid w:val="009C06C7"/>
    <w:rsid w:val="00A72C76"/>
    <w:rsid w:val="00A74D2A"/>
    <w:rsid w:val="00B444A9"/>
    <w:rsid w:val="00BF627B"/>
    <w:rsid w:val="00C96995"/>
    <w:rsid w:val="00CA0015"/>
    <w:rsid w:val="00CB229D"/>
    <w:rsid w:val="00CF206A"/>
    <w:rsid w:val="00D06B0A"/>
    <w:rsid w:val="00D4457E"/>
    <w:rsid w:val="00DE53D4"/>
    <w:rsid w:val="00E13CFD"/>
    <w:rsid w:val="00E45432"/>
    <w:rsid w:val="00E64EF4"/>
    <w:rsid w:val="00ED4102"/>
    <w:rsid w:val="00F205A7"/>
    <w:rsid w:val="00F32965"/>
    <w:rsid w:val="00FB404B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B16A3"/>
  <w14:defaultImageDpi w14:val="0"/>
  <w15:docId w15:val="{7E0CFB8C-8C50-4748-87F7-77C8EA7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ED41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ED41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c"/>
    <w:uiPriority w:val="39"/>
    <w:rsid w:val="003D1A8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D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D1A8E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uiPriority w:val="22"/>
    <w:qFormat/>
    <w:rsid w:val="003D1A8E"/>
    <w:rPr>
      <w:b/>
      <w:bCs/>
    </w:rPr>
  </w:style>
  <w:style w:type="character" w:styleId="af">
    <w:name w:val="Hyperlink"/>
    <w:uiPriority w:val="99"/>
    <w:unhideWhenUsed/>
    <w:rsid w:val="003D1A8E"/>
    <w:rPr>
      <w:color w:val="0000FF"/>
      <w:u w:val="single"/>
    </w:rPr>
  </w:style>
  <w:style w:type="character" w:styleId="af0">
    <w:name w:val="FollowedHyperlink"/>
    <w:basedOn w:val="a0"/>
    <w:uiPriority w:val="99"/>
    <w:rsid w:val="00016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Валетов Семен Яковлевич</cp:lastModifiedBy>
  <cp:revision>5</cp:revision>
  <cp:lastPrinted>2020-05-14T07:22:00Z</cp:lastPrinted>
  <dcterms:created xsi:type="dcterms:W3CDTF">2021-09-28T10:17:00Z</dcterms:created>
  <dcterms:modified xsi:type="dcterms:W3CDTF">2022-11-21T13:06:00Z</dcterms:modified>
</cp:coreProperties>
</file>